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4"/>
          <w:szCs w:val="24"/>
        </w:rPr>
      </w:pPr>
      <w:r w:rsidRPr="00B038B6">
        <w:rPr>
          <w:rFonts w:ascii="Courier New" w:eastAsia="Times New Roman" w:hAnsi="Courier New" w:cs="Courier New"/>
          <w:b/>
          <w:bCs/>
          <w:sz w:val="21"/>
          <w:szCs w:val="21"/>
        </w:rPr>
        <w:t>RULES OF THE SANDIGANBAYAN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Pursuant to the provisions of Section 5 of Article XIII of the Constitution of the Philippines, as implemented by Presidential Decree No. 1606,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hereby adopts and promulgates the following rules to govern the conduct of its business.</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I</w:t>
      </w:r>
      <w:r w:rsidRPr="00B038B6">
        <w:rPr>
          <w:rFonts w:ascii="Courier New" w:eastAsia="Times New Roman" w:hAnsi="Courier New" w:cs="Courier New"/>
          <w:b/>
          <w:bCs/>
          <w:sz w:val="21"/>
          <w:szCs w:val="21"/>
        </w:rPr>
        <w:br/>
        <w:t>TITLE AND CONSTRUCTION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Title of the Rules.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These Rules shall be known and cited as the Rules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Construction.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These Rules shall be liberally construed in order to promote their objectives and to achieve a just, expeditious and inexpensive determination of every action and proceeding before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b/>
          <w:bCs/>
          <w:sz w:val="21"/>
          <w:szCs w:val="21"/>
        </w:rPr>
      </w:pPr>
      <w:r w:rsidRPr="00B038B6">
        <w:rPr>
          <w:rFonts w:ascii="Courier New" w:eastAsia="Times New Roman" w:hAnsi="Courier New" w:cs="Courier New"/>
          <w:b/>
          <w:bCs/>
          <w:sz w:val="21"/>
          <w:szCs w:val="21"/>
        </w:rPr>
        <w:t>RULE II</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CONTROL OF FUNCTIONS AND SUCCESSION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Exclusive Control.</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sz w:val="21"/>
          <w:szCs w:val="21"/>
        </w:rPr>
        <w:t xml:space="preserve">Except as otherwise provided by the Constitution and Presidential Decree No. 1606,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have exclusive control, direction and supervision of all matters pertaining to its internal affairs and the operation of its business.</w:t>
      </w:r>
      <w:proofErr w:type="gramEnd"/>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Succession in the Office of the Presiding Justice.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In case of vacancy in the position of Presiding Justice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or his temporary incapacity to exercise the powers and perform the duties of his office, the same shall devolve upon the qualified most senior Associate Justices until such incapacity is removed or another Presiding Justice is appointed and has duly qualified.</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b/>
          <w:bCs/>
          <w:sz w:val="21"/>
          <w:szCs w:val="21"/>
        </w:rPr>
      </w:pPr>
      <w:r w:rsidRPr="00B038B6">
        <w:rPr>
          <w:rFonts w:ascii="Courier New" w:eastAsia="Times New Roman" w:hAnsi="Courier New" w:cs="Courier New"/>
          <w:b/>
          <w:bCs/>
          <w:sz w:val="21"/>
          <w:szCs w:val="21"/>
        </w:rPr>
        <w:t>RULE III</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COMPOSITION OF DIVISIONS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How Divisions Constituted.</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consist of three divisions which shall be known as the First Division, Second Division, and Third Division, and shall each be composed of Presiding Justice and the first two Associate Justices in the order of precedence as the respective Chairmen; the next three Associate Justices in the order of precedence as the respective senior members; and the last three Associate Justices in the order of precedence as the respective junior members. However, until the entire complement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have been appointed and qualified, the Presiding justice and the two Associate Justices first appointed and qualified shall constitute the First Division.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Vacancy; How Filled.</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In case of any vacancy in the composition of a division, whether permanent or temporary, the Presiding Justice may </w:t>
      </w:r>
      <w:r w:rsidRPr="00B038B6">
        <w:rPr>
          <w:rFonts w:ascii="Courier New" w:eastAsia="Times New Roman" w:hAnsi="Courier New" w:cs="Courier New"/>
          <w:sz w:val="21"/>
          <w:szCs w:val="21"/>
        </w:rPr>
        <w:lastRenderedPageBreak/>
        <w:t>designate an Associate Justice of the Court, to be determined by strict rotation on the basis of the reverse order of precedence, to sit as a special member of said division with all the rights and prerogatives of a regular member of said division in the trial and determination of cases assigned thereto, unless the operation of the other divisions of the Court will be prejudiced thereby, in which case, the procedure provided in Section 3, Rule VIII of these Rules shall apply.</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IV</w:t>
      </w:r>
      <w:r w:rsidRPr="00B038B6">
        <w:rPr>
          <w:rFonts w:ascii="Courier New" w:eastAsia="Times New Roman" w:hAnsi="Courier New" w:cs="Courier New"/>
          <w:b/>
          <w:bCs/>
          <w:sz w:val="21"/>
          <w:szCs w:val="21"/>
        </w:rPr>
        <w:br/>
        <w:t>FILING OF CASES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Proceedings Free of Charge.</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All proceedings in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t>
      </w:r>
      <w:proofErr w:type="gramStart"/>
      <w:r w:rsidRPr="00B038B6">
        <w:rPr>
          <w:rFonts w:ascii="Courier New" w:eastAsia="Times New Roman" w:hAnsi="Courier New" w:cs="Courier New"/>
          <w:sz w:val="21"/>
          <w:szCs w:val="21"/>
        </w:rPr>
        <w:t>be</w:t>
      </w:r>
      <w:proofErr w:type="gramEnd"/>
      <w:r w:rsidRPr="00B038B6">
        <w:rPr>
          <w:rFonts w:ascii="Courier New" w:eastAsia="Times New Roman" w:hAnsi="Courier New" w:cs="Courier New"/>
          <w:sz w:val="21"/>
          <w:szCs w:val="21"/>
        </w:rPr>
        <w:t xml:space="preserve"> conducted at no cost to the complainant and/or his witnesses.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Preliminary Investigation Necessary.</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No criminal information or complaint shall be entertained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except upon a certification by the investigating Prosecutor of the existence of a prima facie case to be determined after a preliminary investigation conducted in accordance with applicable laws and approved by the Chief Special Prosecutor.</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Where Cases Filed.</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All cases to be filed with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filed with the Office of the Clerk of Court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which shall be open for the purpose of receiving complaints, information, motions and the like from eight to twelve o'clock in the morning and twelve thirty to four-thirty o'clock in the afternoon, on Mondays to Fridays, except on public or special holidays.</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V</w:t>
      </w:r>
      <w:r w:rsidRPr="00B038B6">
        <w:rPr>
          <w:rFonts w:ascii="Courier New" w:eastAsia="Times New Roman" w:hAnsi="Courier New" w:cs="Courier New"/>
          <w:b/>
          <w:bCs/>
          <w:sz w:val="21"/>
          <w:szCs w:val="21"/>
        </w:rPr>
        <w:br/>
        <w:t>DISTRIBUTION AND CONSOLIDATION OF CASES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Distribution of Cases.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All cases filed with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allotted among the three divisions for hearing and decision by raffle to be conducted by a Raffle Committee composed of the Presiding Justice and the two most senior Associate Justices available, on such days as may hereafter be fixed by the Presiding Justice depending upon the need for such raffle to be made in view of the number of cases filed, with notice to the interested parties who may, if they so desire, be present therein by themselves or through counsel.</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Consolidation of Cases.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Cases arising from the same incident on series of incidents, or involving common questions of fact and law, may, in the discretion of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be consolidated in only one division. Should the propriety of such consolidation appear upon the filing of the cases concerned and before they are raffled, all such cases shall be considered as one case for purposes of the raffle; but, should the propriety of such consolidation may be affected upon motion of an interested party filed with the division taking cognizance of the case to be consolidated and, if granted, consolidation shall be made in the division before which the case with the lowest number is pending. In either case, the division in which consolidation is effected shall be entitled to be credited in the distribution of cases with the same number </w:t>
      </w:r>
      <w:r w:rsidRPr="00B038B6">
        <w:rPr>
          <w:rFonts w:ascii="Courier New" w:eastAsia="Times New Roman" w:hAnsi="Courier New" w:cs="Courier New"/>
          <w:sz w:val="21"/>
          <w:szCs w:val="21"/>
        </w:rPr>
        <w:lastRenderedPageBreak/>
        <w:t xml:space="preserve">of cases transferred to it to the end that all divisions shall, as much as possible, receive more or less the same number of cases filed with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Assignment of Cases Permanent.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Cases assigned to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in accordance with these Rules shall remain with said division notwithstanding changes in the composition thereof and all matters raised therein shall be deemed to be submitted for consideration and adjudication by any and all of the Justices who are members of the division aforesaid at the time said matters are taken up, irrespective of whether they were or were not members of the division at the time the case was first assigned thereto: Provided, however, That only Justices who are members of the division at the time a case is submitted for decision shall take part in the consideration and adjudication of said case, unless any such member thereafter ceases to be a member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for any reason whatsoever in which case any Justice chosen to fill the vacancy in accordance with the manner provided in Section 2, Rule III, of these Rules shall participate in the consideration and adjudication of said case; Provided, lastly, that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en banc may, for special or compelling reasons, transfer cases from one division thereof to another.</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VI</w:t>
      </w:r>
      <w:r w:rsidRPr="00B038B6">
        <w:rPr>
          <w:rFonts w:ascii="Courier New" w:eastAsia="Times New Roman" w:hAnsi="Courier New" w:cs="Courier New"/>
          <w:b/>
          <w:bCs/>
          <w:sz w:val="21"/>
          <w:szCs w:val="21"/>
        </w:rPr>
        <w:br/>
        <w:t>PROCESSES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Processes and writs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which by their nature or by provision of existing laws or the Rules of Court are to be issued under the signature of a Judge or a Justice shall be signed by the Chairman of the division concerned: Provided, That if there is an urgent necessity for the issuance thereof before the case is raffled to a division, the same shall be signed by the Presiding Justice. In the absence of the Presiding Justice or the Chairman aforesaid, the process or writ shall be signed by the senior Associate Justice in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or in the divisions concerned, respectively. All other processes or writs issued upon authority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or a division thereof shall be signed by the Clerk of Court or, in his absence, by the Deputy Clerk of Court of the division concerned.</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VII</w:t>
      </w:r>
      <w:r w:rsidRPr="00B038B6">
        <w:rPr>
          <w:rFonts w:ascii="Courier New" w:eastAsia="Times New Roman" w:hAnsi="Courier New" w:cs="Courier New"/>
          <w:b/>
          <w:bCs/>
          <w:sz w:val="21"/>
          <w:szCs w:val="21"/>
        </w:rPr>
        <w:br/>
        <w:t>BAIL</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How Amount Fixed; Approval.</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amount of bail to be posted in cases in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fixed by the Chairman of the division thereof to which they are assigned; and such bail may be approved by any Justice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but preferably by a Justice of the division concerned: Provided, however, That where the accused is arrested, detained or otherwise placed in custody outside the Metropolitan Manila area, any judge of the Court of First Instance or Circuit Criminal Court may accept and approve the bail for his appearance before the division to which his case is assigned and release him, and shall inform the division issuing the order of arrest of his action, forwarding thereto the papers in this case.</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Condition of the Bail.</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condition of the bail is that the accused shall appear and answer the complaint or information in the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to which it is assigned or transferred for trial and submit himself to the orders and processes thereof and, after conviction, if the case is appealed to the Supreme Court, that he will surrender himself for the execution of such judgment as the Supreme Court may render; or, that, in case the cause is to be tried anew or remanded for a new trial, he will appear in the division to which it may be remanded and submit himself to the orders and processes thereof.</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VIII</w:t>
      </w:r>
      <w:r w:rsidRPr="00B038B6">
        <w:rPr>
          <w:rFonts w:ascii="Courier New" w:eastAsia="Times New Roman" w:hAnsi="Courier New" w:cs="Courier New"/>
          <w:b/>
          <w:bCs/>
          <w:sz w:val="21"/>
          <w:szCs w:val="21"/>
        </w:rPr>
        <w:br/>
        <w:t>SESSIONS AND TRIAL</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How Sessions Held.</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for administrative purposes, sit en banc; and, for the trial and determination of cases, sit in three divisions of three Justices each. The three divisions may sit at the same time.</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Presiding Officer.</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Sessions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en banc shall be presided by the Presiding Justice; whereas sessions in division shall be </w:t>
      </w:r>
      <w:proofErr w:type="gramStart"/>
      <w:r w:rsidRPr="00B038B6">
        <w:rPr>
          <w:rFonts w:ascii="Courier New" w:eastAsia="Times New Roman" w:hAnsi="Courier New" w:cs="Courier New"/>
          <w:sz w:val="21"/>
          <w:szCs w:val="21"/>
        </w:rPr>
        <w:t>presided</w:t>
      </w:r>
      <w:proofErr w:type="gramEnd"/>
      <w:r w:rsidRPr="00B038B6">
        <w:rPr>
          <w:rFonts w:ascii="Courier New" w:eastAsia="Times New Roman" w:hAnsi="Courier New" w:cs="Courier New"/>
          <w:sz w:val="21"/>
          <w:szCs w:val="21"/>
        </w:rPr>
        <w:t xml:space="preserve"> by the respective Chairman of each division. In the absence of the Presiding Justice or the Chairman of a division, as the case may be, the Associate Justice attending the session en banc or in division who is first in the order of precedence and able to preside, shall do so.</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Quorum.</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Five Justices shall constitute a quorum for sessions en banc, and three Justices for sessions in division: Provided, That when a quorum and/or the votes required for a resolution or decision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either en banc or in division, or the trial or hearing of cases cannot be had due to the legal disqualification or temporary disability of a Justice or of a vacancy occurring therein, the President shall, upon recommendation of the Presiding Justice, designate any Justice of the Court of Appeals, Judge of the Court of First Instance or of the Circuit Criminal Court to sit temporarily therein.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Place of Holding Sessions.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Sessions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whether en banc or in division, shall be held in the place of its principal office in the Metropolitan Manila area where it shall try and determine all cases filed with it irrespective of the place where they may have arisen: Provided, however, That the Presiding Justice may authorize any division or divisions of the Court to hold sessions at any time and place outside Metropolitan Manila to hear and decide cases emanating </w:t>
      </w:r>
      <w:proofErr w:type="spellStart"/>
      <w:r w:rsidRPr="00B038B6">
        <w:rPr>
          <w:rFonts w:ascii="Courier New" w:eastAsia="Times New Roman" w:hAnsi="Courier New" w:cs="Courier New"/>
          <w:sz w:val="21"/>
          <w:szCs w:val="21"/>
        </w:rPr>
        <w:t>therefrom</w:t>
      </w:r>
      <w:proofErr w:type="spellEnd"/>
      <w:r w:rsidRPr="00B038B6">
        <w:rPr>
          <w:rFonts w:ascii="Courier New" w:eastAsia="Times New Roman" w:hAnsi="Courier New" w:cs="Courier New"/>
          <w:sz w:val="21"/>
          <w:szCs w:val="21"/>
        </w:rPr>
        <w:t xml:space="preserve">. For this purpose and whenever necessary,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may require the services of the personnel and the use of the facilities of any agency of the Government, national or local, including the Courts of First Instance or Circuit Criminal Court of the province or city where any of the divisions is holding session, and those personnel of such agencies or courts shall be subject to the orders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Time of Holding Sessions.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Sessions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en banc may be called at any time by the Presiding Justice or at the instance at least five Associate Justices. Sessions for the trial of cases cognizable </w:t>
      </w:r>
      <w:r w:rsidRPr="00B038B6">
        <w:rPr>
          <w:rFonts w:ascii="Courier New" w:eastAsia="Times New Roman" w:hAnsi="Courier New" w:cs="Courier New"/>
          <w:sz w:val="21"/>
          <w:szCs w:val="21"/>
        </w:rPr>
        <w:lastRenderedPageBreak/>
        <w:t>by it shall be held on such days and at such times as the divisions thereof may, by order and upon notice to the parties concerned, fix.</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Pre-trial Inquest.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After the arraignment of an accused who pleads not guilty, the division concerned shall, without prejudice to the invocation by the accused of his constitutional rights, direct the prosecutor and the accused and his counsel to appear before any of the Justices thereof for a conference to consider;</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Admissions of facts about which there can be no dispute;</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Marking for identification of documentary or real evidence of the parties;</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Waiver of objections to admissibility of evidence;</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Procedure on objections where there are multiple </w:t>
      </w:r>
      <w:proofErr w:type="gramStart"/>
      <w:r w:rsidRPr="00B038B6">
        <w:rPr>
          <w:rFonts w:ascii="Courier New" w:eastAsia="Times New Roman" w:hAnsi="Courier New" w:cs="Courier New"/>
          <w:sz w:val="21"/>
          <w:szCs w:val="21"/>
        </w:rPr>
        <w:t>counsel</w:t>
      </w:r>
      <w:proofErr w:type="gram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(e) Order of presentation of evidence and arguments where there are multiple accused;</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(f) Order of cross-examination where there are multiple accused; and</w:t>
      </w:r>
    </w:p>
    <w:p w:rsidR="004E2720" w:rsidRPr="00B038B6" w:rsidRDefault="004E2720" w:rsidP="004E2720">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(g) Such other matter as will promote a fair and expeditious termination of the trial.</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After the pre-trial inquest, a pre-trial order shall be issued by the Associate Justice presiding the conference reciting the actions and/or proceedings taken thereat, the admissions of facts made, the documents and real evidence marked, and the agreement entered into by the parties as to any of the matters taken up therein. Such order shall limit the issues for trial to those not disposed of by the admissions or agreements of the parties and when entered shall blind the parties and control the course of the action during the trial, on appeal, and in post-conviction proceedings, unless modified by the division concerned before trial to prevent manifest injustice.</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IX</w:t>
      </w:r>
      <w:r w:rsidRPr="00B038B6">
        <w:rPr>
          <w:rFonts w:ascii="Courier New" w:eastAsia="Times New Roman" w:hAnsi="Courier New" w:cs="Courier New"/>
          <w:b/>
          <w:bCs/>
          <w:sz w:val="21"/>
          <w:szCs w:val="21"/>
        </w:rPr>
        <w:br/>
        <w:t>MOTIONS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Motion Day.</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The first hours of the morning session of the divisions every Friday shall be devoted to the hearing of motions, unless, upon motion of an interested party and for special reasons, the division concerned shall fix another day for the hearing of any particular motion.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Resolution on Interlocutory or Incidental Motions.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Rulings on all written motions submitted to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or any division thereof for resolution shall be reached in consultation among the Justices participating in the consideration thereof: Provided, however, </w:t>
      </w:r>
      <w:proofErr w:type="gramStart"/>
      <w:r w:rsidRPr="00B038B6">
        <w:rPr>
          <w:rFonts w:ascii="Courier New" w:eastAsia="Times New Roman" w:hAnsi="Courier New" w:cs="Courier New"/>
          <w:sz w:val="21"/>
          <w:szCs w:val="21"/>
        </w:rPr>
        <w:t>That</w:t>
      </w:r>
      <w:proofErr w:type="gramEnd"/>
      <w:r w:rsidRPr="00B038B6">
        <w:rPr>
          <w:rFonts w:ascii="Courier New" w:eastAsia="Times New Roman" w:hAnsi="Courier New" w:cs="Courier New"/>
          <w:sz w:val="21"/>
          <w:szCs w:val="21"/>
        </w:rPr>
        <w:t xml:space="preserve"> rulings on oral motions or on objections made in the course of the trial or hearing shall be handed down by the Chairman of the division concerned.</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lastRenderedPageBreak/>
        <w:t>RULE X</w:t>
      </w:r>
      <w:r w:rsidRPr="00B038B6">
        <w:rPr>
          <w:rFonts w:ascii="Courier New" w:eastAsia="Times New Roman" w:hAnsi="Courier New" w:cs="Courier New"/>
          <w:b/>
          <w:bCs/>
          <w:sz w:val="21"/>
          <w:szCs w:val="21"/>
        </w:rPr>
        <w:br/>
        <w:t>JUDGMENT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Votes Necessary to Decide.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unanimous vote of three Justices in a division shall be necessary for the rendition of a judgment or order. In the event that the three Justices do not reach a unanimous vote, the Presiding Justice shall designated by raffle two Justices from among the other members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to sit temporarily with them forming a special division of five Justices, and the vote of a majority of such special division shall be necessary for the rendition of a judgment or order.</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Procedure in Deciding Cases.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conclusions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in any case submitted to it for decision shall be reached in consultation before the case is assigned to a Justice for the writing of the opinion of the division. Any Justice dissenting from a judgment shall state the reasons for his dissent.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Maximum Period to Decide Cases.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judgment or final order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rendered within three (3) months from the date the case was submitted for decision.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Form of judgment and final order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contain complete findings of fact and a statement of the law on all issues properly </w:t>
      </w:r>
      <w:proofErr w:type="gramStart"/>
      <w:r w:rsidRPr="00B038B6">
        <w:rPr>
          <w:rFonts w:ascii="Courier New" w:eastAsia="Times New Roman" w:hAnsi="Courier New" w:cs="Courier New"/>
          <w:sz w:val="21"/>
          <w:szCs w:val="21"/>
        </w:rPr>
        <w:t>raised</w:t>
      </w:r>
      <w:proofErr w:type="gramEnd"/>
      <w:r w:rsidRPr="00B038B6">
        <w:rPr>
          <w:rFonts w:ascii="Courier New" w:eastAsia="Times New Roman" w:hAnsi="Courier New" w:cs="Courier New"/>
          <w:sz w:val="21"/>
          <w:szCs w:val="21"/>
        </w:rPr>
        <w:t xml:space="preserve"> before it.</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XI</w:t>
      </w:r>
      <w:r w:rsidRPr="00B038B6">
        <w:rPr>
          <w:rFonts w:ascii="Courier New" w:eastAsia="Times New Roman" w:hAnsi="Courier New" w:cs="Courier New"/>
          <w:b/>
          <w:bCs/>
          <w:sz w:val="21"/>
          <w:szCs w:val="21"/>
        </w:rPr>
        <w:br/>
        <w:t>PROMULGATION OF JUDGMENT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judgment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promulgated by reading the judgment or sentence in the presence of the accused and any Justice of the division which rendered the same: Provided, That, if the accused is confined or detained in a place outside Metropolitan Manila or of the city or province in which any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is sitting at the time of such promulgation, the judgment may, upon delegation by the division concerned be promulgated by any judge of the Court of First Instance or Circuit Criminal Court having jurisdiction over the place of confinement or detention, in which event the Court so promulgating the judgment shall have authority to accept and approve the appeal bond.</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XII</w:t>
      </w:r>
      <w:r w:rsidRPr="00B038B6">
        <w:rPr>
          <w:rFonts w:ascii="Courier New" w:eastAsia="Times New Roman" w:hAnsi="Courier New" w:cs="Courier New"/>
          <w:b/>
          <w:bCs/>
          <w:sz w:val="21"/>
          <w:szCs w:val="21"/>
        </w:rPr>
        <w:br/>
        <w:t>PETITION FOR RECONSIDERATION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Within fifteen (15) days from the promulgation or notice of a judgment or final order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unless said judgment or order had in the meantime otherwise attained finality, a petition for the reconsideration thereof may be filed upon the grounds, in the form and subject to the requirements, for motions for new trial in criminal cases under Rule 121 of the Rules of Court, and such petition for reconsideration shall be decided within thirty (30 days from submission thereof.</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lastRenderedPageBreak/>
        <w:t>RULE XIII</w:t>
      </w:r>
      <w:r w:rsidRPr="00B038B6">
        <w:rPr>
          <w:rFonts w:ascii="Courier New" w:eastAsia="Times New Roman" w:hAnsi="Courier New" w:cs="Courier New"/>
          <w:b/>
          <w:bCs/>
          <w:sz w:val="21"/>
          <w:szCs w:val="21"/>
        </w:rPr>
        <w:br/>
        <w:t>REVIEW OF JUDGMENTS AND FINAL ORDERS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Method of Review.</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 party may appeal from a judgment or final order of a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by filing with the Supreme Court a petition for certiorari in accordance with Rule 45 of Rules of Court and by serving a copy thereof to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Whenever, in any case decided, the death penalty shall have been imposed, the records shall be forwarded to the Supreme Court, whether the accused shall have appealed or not, for review and judgment, as law and justice shall dictate.</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Bail Pending Appeal.</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An accused who has been released on bail shall not committed to jail upon conviction pending the expiration of the period for appeal or pending an appeal seasonably taken, except when the penalty imposed is reclusion </w:t>
      </w:r>
      <w:proofErr w:type="spellStart"/>
      <w:r w:rsidRPr="00B038B6">
        <w:rPr>
          <w:rFonts w:ascii="Courier New" w:eastAsia="Times New Roman" w:hAnsi="Courier New" w:cs="Courier New"/>
          <w:sz w:val="21"/>
          <w:szCs w:val="21"/>
        </w:rPr>
        <w:t>perpetua</w:t>
      </w:r>
      <w:proofErr w:type="spellEnd"/>
      <w:r w:rsidRPr="00B038B6">
        <w:rPr>
          <w:rFonts w:ascii="Courier New" w:eastAsia="Times New Roman" w:hAnsi="Courier New" w:cs="Courier New"/>
          <w:sz w:val="21"/>
          <w:szCs w:val="21"/>
        </w:rPr>
        <w:t xml:space="preserve"> or death, in which case, the accused may forthwith be committed to jail after promulgation of the sentence. The division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concerned, however, may, for good cause, cancel the bond or increase the amount of bail and commit the accused into custody pending appeal, unless he gives bail in the increased amount. The surely shall also be responsible for the surrender or the accused after judgment shall have become final.</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XIV</w:t>
      </w:r>
      <w:r w:rsidRPr="00B038B6">
        <w:rPr>
          <w:rFonts w:ascii="Courier New" w:eastAsia="Times New Roman" w:hAnsi="Courier New" w:cs="Courier New"/>
          <w:b/>
          <w:bCs/>
          <w:sz w:val="21"/>
          <w:szCs w:val="21"/>
        </w:rPr>
        <w:br/>
        <w:t>PUBLICATION OF DECISIONS</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With the consent of the respective writers thereof, the decisions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may be published in the Official Gazette in the language in which they have been originally written. The syllabi for the decisions shall be prepared by the Clerk of Court in consultation with writers thereof.</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XV</w:t>
      </w:r>
      <w:r w:rsidRPr="00B038B6">
        <w:rPr>
          <w:rFonts w:ascii="Courier New" w:eastAsia="Times New Roman" w:hAnsi="Courier New" w:cs="Courier New"/>
          <w:b/>
          <w:bCs/>
          <w:sz w:val="21"/>
          <w:szCs w:val="21"/>
        </w:rPr>
        <w:br/>
        <w:t>APPLICABILITY OF THE RULES OF COURT</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Except as otherwise herein provided or as </w:t>
      </w:r>
      <w:proofErr w:type="gramStart"/>
      <w:r w:rsidRPr="00B038B6">
        <w:rPr>
          <w:rFonts w:ascii="Courier New" w:eastAsia="Times New Roman" w:hAnsi="Courier New" w:cs="Courier New"/>
          <w:sz w:val="21"/>
          <w:szCs w:val="21"/>
        </w:rPr>
        <w:t>may</w:t>
      </w:r>
      <w:proofErr w:type="gramEnd"/>
      <w:r w:rsidRPr="00B038B6">
        <w:rPr>
          <w:rFonts w:ascii="Courier New" w:eastAsia="Times New Roman" w:hAnsi="Courier New" w:cs="Courier New"/>
          <w:sz w:val="21"/>
          <w:szCs w:val="21"/>
        </w:rPr>
        <w:t xml:space="preserve"> hereafter be modified from time to time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and insofar as practicable, the Rules of Court shall govern proceedings in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XVI</w:t>
      </w:r>
      <w:r w:rsidRPr="00B038B6">
        <w:rPr>
          <w:rFonts w:ascii="Courier New" w:eastAsia="Times New Roman" w:hAnsi="Courier New" w:cs="Courier New"/>
          <w:b/>
          <w:bCs/>
          <w:sz w:val="21"/>
          <w:szCs w:val="21"/>
        </w:rPr>
        <w:br/>
        <w:t>SEAL OF THE SANDIGANBAYAN</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 seal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of standard size, circular in form, consisting of two concentric circles as its margin, with the inscription, running from left to right, on the upper margin of the word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and on the lower margin of the words "</w:t>
      </w:r>
      <w:proofErr w:type="spellStart"/>
      <w:r w:rsidRPr="00B038B6">
        <w:rPr>
          <w:rFonts w:ascii="Courier New" w:eastAsia="Times New Roman" w:hAnsi="Courier New" w:cs="Courier New"/>
          <w:sz w:val="21"/>
          <w:szCs w:val="21"/>
        </w:rPr>
        <w:t>Republika</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ng</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Pilipinas</w:t>
      </w:r>
      <w:proofErr w:type="spellEnd"/>
      <w:r w:rsidRPr="00B038B6">
        <w:rPr>
          <w:rFonts w:ascii="Courier New" w:eastAsia="Times New Roman" w:hAnsi="Courier New" w:cs="Courier New"/>
          <w:sz w:val="21"/>
          <w:szCs w:val="21"/>
        </w:rPr>
        <w:t xml:space="preserve">"; with 16 stars, representing the existing 16 judicial districts, immediately along the outer edge of the inner circle; and with a design at the center of a triangle, with a trisected area composed of the national colors of white on its upper part, blue on the left and red on the right, with the words "KATAPATAN" on the right side, "KAPANAGUTAN" </w:t>
      </w:r>
      <w:r w:rsidRPr="00B038B6">
        <w:rPr>
          <w:rFonts w:ascii="Courier New" w:eastAsia="Times New Roman" w:hAnsi="Courier New" w:cs="Courier New"/>
          <w:sz w:val="21"/>
          <w:szCs w:val="21"/>
        </w:rPr>
        <w:lastRenderedPageBreak/>
        <w:t xml:space="preserve">on the left side, and "KARANGALAN" on the base; a star in each corner of the triangle representing Luzon, </w:t>
      </w:r>
      <w:proofErr w:type="spellStart"/>
      <w:r w:rsidRPr="00B038B6">
        <w:rPr>
          <w:rFonts w:ascii="Courier New" w:eastAsia="Times New Roman" w:hAnsi="Courier New" w:cs="Courier New"/>
          <w:sz w:val="21"/>
          <w:szCs w:val="21"/>
        </w:rPr>
        <w:t>Visayas</w:t>
      </w:r>
      <w:proofErr w:type="spellEnd"/>
      <w:r w:rsidRPr="00B038B6">
        <w:rPr>
          <w:rFonts w:ascii="Courier New" w:eastAsia="Times New Roman" w:hAnsi="Courier New" w:cs="Courier New"/>
          <w:sz w:val="21"/>
          <w:szCs w:val="21"/>
        </w:rPr>
        <w:t xml:space="preserve"> and Mindanao; and a bolo inside the triangle on which is superimposed a balance.</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XVII</w:t>
      </w:r>
      <w:r w:rsidRPr="00B038B6">
        <w:rPr>
          <w:rFonts w:ascii="Courier New" w:eastAsia="Times New Roman" w:hAnsi="Courier New" w:cs="Courier New"/>
          <w:b/>
          <w:bCs/>
          <w:sz w:val="21"/>
          <w:szCs w:val="21"/>
        </w:rPr>
        <w:br/>
        <w:t>SEPARABILITY CLAUSE</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If, for any reason, any section or provision of these Rules shall be held to be unconstitutional or invalid, no other section or provision thereof shall be </w:t>
      </w:r>
      <w:proofErr w:type="gramStart"/>
      <w:r w:rsidRPr="00B038B6">
        <w:rPr>
          <w:rFonts w:ascii="Courier New" w:eastAsia="Times New Roman" w:hAnsi="Courier New" w:cs="Courier New"/>
          <w:sz w:val="21"/>
          <w:szCs w:val="21"/>
        </w:rPr>
        <w:t>effected</w:t>
      </w:r>
      <w:proofErr w:type="gramEnd"/>
      <w:r w:rsidRPr="00B038B6">
        <w:rPr>
          <w:rFonts w:ascii="Courier New" w:eastAsia="Times New Roman" w:hAnsi="Courier New" w:cs="Courier New"/>
          <w:sz w:val="21"/>
          <w:szCs w:val="21"/>
        </w:rPr>
        <w:t xml:space="preserve"> thereby.</w:t>
      </w:r>
    </w:p>
    <w:p w:rsidR="004E2720" w:rsidRPr="00B038B6" w:rsidRDefault="004E2720" w:rsidP="004E2720">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RULE XVIII</w:t>
      </w:r>
      <w:r w:rsidRPr="00B038B6">
        <w:rPr>
          <w:rFonts w:ascii="Courier New" w:eastAsia="Times New Roman" w:hAnsi="Courier New" w:cs="Courier New"/>
          <w:b/>
          <w:bCs/>
          <w:sz w:val="21"/>
          <w:szCs w:val="21"/>
        </w:rPr>
        <w:br/>
        <w:t>EFFECTIVITY</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Rules shall take effect upon approval.</w:t>
      </w:r>
    </w:p>
    <w:p w:rsidR="004E2720" w:rsidRPr="00B038B6" w:rsidRDefault="004E2720" w:rsidP="004E2720">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Done in the City of Manila, this 10th day of January, in the year of Our Lord, nineteen hundred and seventy-nine.</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720"/>
    <w:rsid w:val="004E2720"/>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2857</Words>
  <Characters>16289</Characters>
  <Application>Microsoft Office Word</Application>
  <DocSecurity>0</DocSecurity>
  <Lines>135</Lines>
  <Paragraphs>38</Paragraphs>
  <ScaleCrop>false</ScaleCrop>
  <Company>http://sharingcentre.info</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2010-04-09T14:10:00Z</dcterms:created>
  <dcterms:modified xsi:type="dcterms:W3CDTF">2010-04-09T14:10:00Z</dcterms:modified>
</cp:coreProperties>
</file>